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C5" w:rsidRPr="00F04FC5" w:rsidRDefault="00F04FC5" w:rsidP="00F04FC5">
      <w:pPr>
        <w:suppressAutoHyphens/>
        <w:spacing w:after="0" w:line="240" w:lineRule="auto"/>
        <w:jc w:val="center"/>
        <w:rPr>
          <w:rFonts w:ascii="Arial" w:eastAsia="Times New Roman" w:hAnsi="Arial" w:cs="Arial"/>
          <w:b/>
          <w:kern w:val="0"/>
          <w:sz w:val="20"/>
          <w:szCs w:val="20"/>
          <w:lang w:eastAsia="ar-SA"/>
        </w:rPr>
      </w:pPr>
      <w:r w:rsidRPr="00F04FC5">
        <w:rPr>
          <w:rFonts w:ascii="Arial" w:eastAsia="Times New Roman" w:hAnsi="Arial" w:cs="Arial"/>
          <w:b/>
          <w:kern w:val="0"/>
          <w:sz w:val="20"/>
          <w:szCs w:val="20"/>
          <w:lang w:eastAsia="ar-SA"/>
        </w:rPr>
        <w:t xml:space="preserve">POSTANOWIENIA DODATKOWE I ODMIENNE </w:t>
      </w:r>
    </w:p>
    <w:p w:rsidR="00F04FC5" w:rsidRPr="00F04FC5" w:rsidRDefault="00F04FC5" w:rsidP="00F04FC5">
      <w:pPr>
        <w:suppressAutoHyphens/>
        <w:spacing w:after="0" w:line="240" w:lineRule="auto"/>
        <w:jc w:val="center"/>
        <w:rPr>
          <w:rFonts w:ascii="Arial" w:eastAsia="Times New Roman" w:hAnsi="Arial" w:cs="Arial"/>
          <w:b/>
          <w:kern w:val="0"/>
          <w:sz w:val="20"/>
          <w:szCs w:val="20"/>
          <w:lang w:eastAsia="ar-SA"/>
        </w:rPr>
      </w:pPr>
      <w:r w:rsidRPr="00F04FC5">
        <w:rPr>
          <w:rFonts w:ascii="Arial" w:eastAsia="Times New Roman" w:hAnsi="Arial" w:cs="Arial"/>
          <w:b/>
          <w:kern w:val="0"/>
          <w:sz w:val="20"/>
          <w:szCs w:val="20"/>
          <w:lang w:eastAsia="ar-SA"/>
        </w:rPr>
        <w:t xml:space="preserve">OD OGÓLNYCH WARUNKÓW UBEZPIECZENIA EDU PLUS </w:t>
      </w:r>
    </w:p>
    <w:p w:rsidR="00F04FC5" w:rsidRPr="00F04FC5" w:rsidRDefault="00F04FC5" w:rsidP="00F04FC5">
      <w:pPr>
        <w:autoSpaceDE w:val="0"/>
        <w:autoSpaceDN w:val="0"/>
        <w:adjustRightInd w:val="0"/>
        <w:spacing w:after="0" w:line="240" w:lineRule="auto"/>
        <w:jc w:val="center"/>
        <w:rPr>
          <w:rFonts w:ascii="Arial" w:eastAsia="Times New Roman" w:hAnsi="Arial" w:cs="Arial"/>
          <w:b/>
          <w:kern w:val="0"/>
          <w:sz w:val="20"/>
          <w:szCs w:val="20"/>
          <w:lang w:eastAsia="ar-SA"/>
        </w:rPr>
      </w:pPr>
      <w:r w:rsidRPr="00F04FC5">
        <w:rPr>
          <w:rFonts w:ascii="Arial" w:eastAsia="Calibri" w:hAnsi="Arial" w:cs="Arial"/>
          <w:b/>
          <w:kern w:val="0"/>
          <w:sz w:val="20"/>
          <w:szCs w:val="20"/>
        </w:rPr>
        <w:t xml:space="preserve">zatwierdzonych uchwałą nr </w:t>
      </w:r>
      <w:r w:rsidRPr="00F04FC5">
        <w:rPr>
          <w:rFonts w:ascii="Arial" w:eastAsia="Times New Roman" w:hAnsi="Arial" w:cs="Arial"/>
          <w:b/>
          <w:kern w:val="0"/>
          <w:sz w:val="20"/>
          <w:szCs w:val="20"/>
          <w:lang w:eastAsia="ar-SA"/>
        </w:rPr>
        <w:t>01/27/03/2024 Zarządu InterRisk TU S.A. VIG</w:t>
      </w:r>
    </w:p>
    <w:p w:rsidR="00F04FC5" w:rsidRPr="00F04FC5" w:rsidRDefault="00F04FC5" w:rsidP="00F04FC5">
      <w:pPr>
        <w:autoSpaceDE w:val="0"/>
        <w:autoSpaceDN w:val="0"/>
        <w:adjustRightInd w:val="0"/>
        <w:spacing w:after="0" w:line="240" w:lineRule="auto"/>
        <w:rPr>
          <w:rFonts w:ascii="Arial" w:eastAsia="Times New Roman" w:hAnsi="Arial" w:cs="Arial"/>
          <w:b/>
          <w:kern w:val="0"/>
          <w:sz w:val="20"/>
          <w:szCs w:val="20"/>
          <w:lang w:eastAsia="ar-SA"/>
        </w:rPr>
      </w:pPr>
      <w:r w:rsidRPr="00F04FC5">
        <w:rPr>
          <w:rFonts w:ascii="Arial" w:eastAsia="Times New Roman" w:hAnsi="Arial" w:cs="Arial"/>
          <w:b/>
          <w:kern w:val="0"/>
          <w:sz w:val="20"/>
          <w:szCs w:val="20"/>
          <w:lang w:eastAsia="ar-SA"/>
        </w:rPr>
        <w:t xml:space="preserve"> </w:t>
      </w:r>
    </w:p>
    <w:p w:rsidR="00F04FC5" w:rsidRPr="00F04FC5" w:rsidRDefault="00F04FC5" w:rsidP="00F04FC5">
      <w:pPr>
        <w:suppressAutoHyphens/>
        <w:spacing w:after="0" w:line="240" w:lineRule="auto"/>
        <w:jc w:val="center"/>
        <w:rPr>
          <w:rFonts w:ascii="Arial" w:eastAsia="Times New Roman" w:hAnsi="Arial" w:cs="Arial"/>
          <w:kern w:val="0"/>
          <w:sz w:val="20"/>
          <w:szCs w:val="20"/>
          <w:lang w:eastAsia="ar-SA"/>
        </w:rPr>
      </w:pPr>
      <w:r w:rsidRPr="00F04FC5">
        <w:rPr>
          <w:rFonts w:ascii="Arial" w:eastAsia="Times New Roman" w:hAnsi="Arial" w:cs="Arial"/>
          <w:kern w:val="0"/>
          <w:sz w:val="20"/>
          <w:szCs w:val="20"/>
          <w:lang w:eastAsia="ar-SA"/>
        </w:rPr>
        <w:t xml:space="preserve">Działając na podstawie art. 812 § 8 k.c. InterRisk Towarzystwo Ubezpieczeń Spółka Akcyjna </w:t>
      </w:r>
      <w:proofErr w:type="spellStart"/>
      <w:r w:rsidRPr="00F04FC5">
        <w:rPr>
          <w:rFonts w:ascii="Arial" w:eastAsia="Times New Roman" w:hAnsi="Arial" w:cs="Arial"/>
          <w:kern w:val="0"/>
          <w:sz w:val="20"/>
          <w:szCs w:val="20"/>
          <w:lang w:eastAsia="ar-SA"/>
        </w:rPr>
        <w:t>Vienna</w:t>
      </w:r>
      <w:proofErr w:type="spellEnd"/>
      <w:r w:rsidRPr="00F04FC5">
        <w:rPr>
          <w:rFonts w:ascii="Arial" w:eastAsia="Times New Roman" w:hAnsi="Arial" w:cs="Arial"/>
          <w:kern w:val="0"/>
          <w:sz w:val="20"/>
          <w:szCs w:val="20"/>
          <w:lang w:eastAsia="ar-SA"/>
        </w:rPr>
        <w:t xml:space="preserve"> Insurance Group wskazuje różnice pomiędzy proponowaną treścią OWU EDU PLUS zatwierdzonych uchwałą </w:t>
      </w:r>
      <w:r w:rsidRPr="00F04FC5">
        <w:rPr>
          <w:rFonts w:ascii="Arial" w:eastAsia="Times New Roman" w:hAnsi="Arial" w:cs="Arial"/>
          <w:b/>
          <w:kern w:val="0"/>
          <w:sz w:val="20"/>
          <w:szCs w:val="20"/>
          <w:lang w:eastAsia="ar-SA"/>
        </w:rPr>
        <w:t xml:space="preserve">01/27/03/2024 </w:t>
      </w:r>
      <w:r w:rsidRPr="00F04FC5">
        <w:rPr>
          <w:rFonts w:ascii="Arial" w:eastAsia="Times New Roman" w:hAnsi="Arial" w:cs="Arial"/>
          <w:kern w:val="0"/>
          <w:sz w:val="20"/>
          <w:szCs w:val="20"/>
          <w:lang w:eastAsia="ar-SA"/>
        </w:rPr>
        <w:t xml:space="preserve">Zarządu InterRisk Towarzystwo Ubezpieczeń Spółka Akcyjna </w:t>
      </w:r>
      <w:proofErr w:type="spellStart"/>
      <w:r w:rsidRPr="00F04FC5">
        <w:rPr>
          <w:rFonts w:ascii="Arial" w:eastAsia="Times New Roman" w:hAnsi="Arial" w:cs="Arial"/>
          <w:kern w:val="0"/>
          <w:sz w:val="20"/>
          <w:szCs w:val="20"/>
          <w:lang w:eastAsia="ar-SA"/>
        </w:rPr>
        <w:t>Vienna</w:t>
      </w:r>
      <w:proofErr w:type="spellEnd"/>
      <w:r w:rsidRPr="00F04FC5">
        <w:rPr>
          <w:rFonts w:ascii="Arial" w:eastAsia="Times New Roman" w:hAnsi="Arial" w:cs="Arial"/>
          <w:kern w:val="0"/>
          <w:sz w:val="20"/>
          <w:szCs w:val="20"/>
          <w:lang w:eastAsia="ar-SA"/>
        </w:rPr>
        <w:t xml:space="preserve"> Insurance Group z dnia 24.03.2024 roku.</w:t>
      </w:r>
    </w:p>
    <w:p w:rsidR="00F04FC5" w:rsidRPr="00F04FC5" w:rsidRDefault="00F04FC5" w:rsidP="00F04FC5">
      <w:pPr>
        <w:suppressAutoHyphens/>
        <w:spacing w:after="0" w:line="240" w:lineRule="auto"/>
        <w:jc w:val="center"/>
        <w:rPr>
          <w:rFonts w:ascii="Arial" w:eastAsia="Times New Roman" w:hAnsi="Arial" w:cs="Arial"/>
          <w:kern w:val="0"/>
          <w:sz w:val="20"/>
          <w:szCs w:val="20"/>
          <w:lang w:eastAsia="ar-SA"/>
        </w:rPr>
      </w:pPr>
      <w:r w:rsidRPr="00F04FC5">
        <w:rPr>
          <w:rFonts w:ascii="Arial" w:eastAsia="Times New Roman" w:hAnsi="Arial" w:cs="Arial"/>
          <w:b/>
          <w:bCs/>
          <w:kern w:val="0"/>
          <w:sz w:val="20"/>
          <w:szCs w:val="20"/>
          <w:lang w:eastAsia="ar-SA"/>
        </w:rPr>
        <w:t>§1</w:t>
      </w:r>
    </w:p>
    <w:p w:rsidR="00F04FC5" w:rsidRPr="00F04FC5" w:rsidRDefault="00F04FC5" w:rsidP="00F04FC5">
      <w:pPr>
        <w:suppressAutoHyphens/>
        <w:spacing w:after="0" w:line="240" w:lineRule="auto"/>
        <w:jc w:val="both"/>
        <w:rPr>
          <w:rFonts w:ascii="Arial" w:eastAsia="Times New Roman" w:hAnsi="Arial" w:cs="Arial"/>
          <w:kern w:val="0"/>
          <w:sz w:val="20"/>
          <w:szCs w:val="20"/>
          <w:lang w:eastAsia="ar-SA"/>
        </w:rPr>
      </w:pPr>
    </w:p>
    <w:p w:rsidR="00F04FC5" w:rsidRPr="00F04FC5" w:rsidRDefault="00F04FC5" w:rsidP="00F04FC5">
      <w:pPr>
        <w:suppressAutoHyphens/>
        <w:spacing w:after="0" w:line="240" w:lineRule="auto"/>
        <w:jc w:val="both"/>
        <w:rPr>
          <w:rFonts w:ascii="Arial" w:eastAsia="Times New Roman" w:hAnsi="Arial" w:cs="Arial"/>
          <w:kern w:val="0"/>
          <w:sz w:val="20"/>
          <w:szCs w:val="20"/>
          <w:lang w:eastAsia="ar-SA"/>
        </w:rPr>
      </w:pPr>
      <w:r w:rsidRPr="00F04FC5">
        <w:rPr>
          <w:rFonts w:ascii="Arial" w:eastAsia="Times New Roman" w:hAnsi="Arial" w:cs="Arial"/>
          <w:kern w:val="0"/>
          <w:sz w:val="20"/>
          <w:szCs w:val="20"/>
          <w:lang w:eastAsia="ar-SA"/>
        </w:rPr>
        <w:t>Dla potrzeb niniejszej oferty/umowy ubezpieczenia wprowadza się następujące postanowienia dodatkowe lub odmienne od OWU EDU PLUS:</w:t>
      </w:r>
    </w:p>
    <w:p w:rsidR="00F04FC5" w:rsidRPr="00F04FC5" w:rsidRDefault="00F04FC5" w:rsidP="00F04FC5">
      <w:pPr>
        <w:autoSpaceDE w:val="0"/>
        <w:autoSpaceDN w:val="0"/>
        <w:adjustRightInd w:val="0"/>
        <w:spacing w:after="0" w:line="240" w:lineRule="auto"/>
        <w:rPr>
          <w:rFonts w:ascii="Arial" w:eastAsia="Calibri" w:hAnsi="Arial" w:cs="Arial"/>
          <w:b/>
          <w:bCs/>
          <w:kern w:val="0"/>
          <w:sz w:val="20"/>
          <w:szCs w:val="20"/>
        </w:rPr>
      </w:pPr>
    </w:p>
    <w:p w:rsidR="00F04FC5" w:rsidRPr="00F04FC5" w:rsidRDefault="00F04FC5" w:rsidP="00F04FC5">
      <w:pPr>
        <w:numPr>
          <w:ilvl w:val="0"/>
          <w:numId w:val="1"/>
        </w:numPr>
        <w:spacing w:after="200" w:line="276" w:lineRule="auto"/>
        <w:ind w:left="709"/>
        <w:contextualSpacing/>
        <w:jc w:val="both"/>
        <w:rPr>
          <w:rFonts w:ascii="Arial" w:eastAsia="Calibri" w:hAnsi="Arial" w:cs="Arial"/>
          <w:kern w:val="0"/>
          <w:sz w:val="20"/>
          <w:szCs w:val="20"/>
          <w:lang w:eastAsia="pl-PL"/>
        </w:rPr>
      </w:pPr>
      <w:r w:rsidRPr="00F04FC5">
        <w:rPr>
          <w:rFonts w:ascii="Arial" w:eastAsia="Calibri" w:hAnsi="Arial" w:cs="Arial"/>
          <w:b/>
          <w:bCs/>
          <w:kern w:val="0"/>
          <w:sz w:val="20"/>
          <w:szCs w:val="20"/>
        </w:rPr>
        <w:t>§ 5 ust. 1 pkt. 3) otrzymuje brzmienie</w:t>
      </w:r>
      <w:r w:rsidRPr="00F04FC5">
        <w:rPr>
          <w:rFonts w:ascii="Arial" w:eastAsia="Calibri" w:hAnsi="Arial" w:cs="Arial"/>
          <w:kern w:val="0"/>
          <w:sz w:val="20"/>
          <w:szCs w:val="20"/>
        </w:rPr>
        <w:t>:</w:t>
      </w:r>
    </w:p>
    <w:p w:rsidR="00F04FC5" w:rsidRPr="00F04FC5" w:rsidRDefault="00F04FC5" w:rsidP="00F04FC5">
      <w:pPr>
        <w:spacing w:line="259" w:lineRule="auto"/>
        <w:ind w:left="720"/>
        <w:contextualSpacing/>
        <w:jc w:val="both"/>
        <w:rPr>
          <w:rFonts w:ascii="Arial" w:eastAsia="Calibri" w:hAnsi="Arial" w:cs="Arial"/>
          <w:kern w:val="0"/>
          <w:sz w:val="20"/>
          <w:szCs w:val="20"/>
        </w:rPr>
      </w:pPr>
      <w:r w:rsidRPr="00F04FC5">
        <w:rPr>
          <w:rFonts w:ascii="Arial" w:eastAsia="Calibri" w:hAnsi="Arial" w:cs="Arial"/>
          <w:kern w:val="0"/>
          <w:sz w:val="20"/>
          <w:szCs w:val="20"/>
        </w:rPr>
        <w:t>„3) uszkodzeniami ciała powstałymi przed dniem rozpoczęcia ochrony ubezpieczeniowej Ubezpieczonego, za wyjątkiem Opcji Dodatkowej D3 (pobyt w szpitalu w wyniku nieszczęśliwego wypadku);”</w:t>
      </w:r>
    </w:p>
    <w:p w:rsidR="00F04FC5" w:rsidRPr="00F04FC5" w:rsidRDefault="00F04FC5" w:rsidP="00F04FC5">
      <w:pPr>
        <w:autoSpaceDE w:val="0"/>
        <w:autoSpaceDN w:val="0"/>
        <w:adjustRightInd w:val="0"/>
        <w:spacing w:after="0" w:line="240" w:lineRule="auto"/>
        <w:ind w:left="720"/>
        <w:contextualSpacing/>
        <w:rPr>
          <w:rFonts w:ascii="Arial" w:eastAsia="Calibri" w:hAnsi="Arial" w:cs="Arial"/>
          <w:b/>
          <w:bCs/>
          <w:kern w:val="0"/>
          <w:sz w:val="20"/>
          <w:szCs w:val="20"/>
        </w:rPr>
      </w:pPr>
    </w:p>
    <w:p w:rsidR="00F04FC5" w:rsidRPr="00F04FC5" w:rsidRDefault="00F04FC5" w:rsidP="00F04FC5">
      <w:pPr>
        <w:numPr>
          <w:ilvl w:val="0"/>
          <w:numId w:val="1"/>
        </w:numPr>
        <w:spacing w:after="0" w:line="240" w:lineRule="auto"/>
        <w:ind w:left="709" w:hanging="425"/>
        <w:contextualSpacing/>
        <w:rPr>
          <w:rFonts w:ascii="Arial" w:eastAsia="Calibri" w:hAnsi="Arial" w:cs="Arial"/>
          <w:b/>
          <w:kern w:val="0"/>
          <w:sz w:val="20"/>
          <w:szCs w:val="20"/>
        </w:rPr>
      </w:pPr>
      <w:r w:rsidRPr="00F04FC5">
        <w:rPr>
          <w:rFonts w:ascii="Arial" w:eastAsia="Calibri" w:hAnsi="Arial" w:cs="Arial"/>
          <w:b/>
          <w:kern w:val="0"/>
          <w:sz w:val="20"/>
          <w:szCs w:val="20"/>
        </w:rPr>
        <w:t xml:space="preserve">§5 ust. 1 pkt. 6) OWU otrzymuje brzmienie: </w:t>
      </w:r>
    </w:p>
    <w:p w:rsidR="00F04FC5" w:rsidRPr="00F04FC5" w:rsidRDefault="00F04FC5" w:rsidP="00F04FC5">
      <w:pPr>
        <w:spacing w:line="259" w:lineRule="auto"/>
        <w:jc w:val="both"/>
        <w:rPr>
          <w:rFonts w:ascii="Arial" w:eastAsia="Calibri" w:hAnsi="Arial" w:cs="Arial"/>
          <w:kern w:val="0"/>
          <w:sz w:val="20"/>
          <w:szCs w:val="20"/>
        </w:rPr>
      </w:pPr>
      <w:r w:rsidRPr="00F04FC5">
        <w:rPr>
          <w:rFonts w:ascii="Arial" w:eastAsia="Calibri" w:hAnsi="Arial" w:cs="Arial"/>
          <w:bCs/>
          <w:kern w:val="0"/>
          <w:sz w:val="20"/>
          <w:szCs w:val="20"/>
        </w:rPr>
        <w:t>„6)</w:t>
      </w:r>
      <w:r w:rsidRPr="00F04FC5">
        <w:rPr>
          <w:rFonts w:ascii="Arial" w:eastAsia="Calibri" w:hAnsi="Arial" w:cs="Arial"/>
          <w:b/>
          <w:kern w:val="0"/>
          <w:sz w:val="20"/>
          <w:szCs w:val="20"/>
        </w:rPr>
        <w:t xml:space="preserve"> </w:t>
      </w:r>
      <w:r w:rsidRPr="00F04FC5">
        <w:rPr>
          <w:rFonts w:ascii="Arial" w:eastAsia="Calibri" w:hAnsi="Arial" w:cs="Arial"/>
          <w:kern w:val="0"/>
          <w:sz w:val="20"/>
          <w:szCs w:val="20"/>
        </w:rPr>
        <w:t>prowadzeniem pojazdu przez Ubezpieczonego będącego kierowcą pojazdu, nieposiadającego wymaganych uprawnień do prowadzenia danego pojazdu lub jeżeli pojazd był niezarejestrowany lub nie posiadał ważnego badania technicznego, jeżeli w odniesieniu do danego pojazdu istnieje wymóg rejestracji lub dokonania okresowych badań technicznych, chyba że brak wymaganych uprawnień do prowadzenia danego pojazdu, brak zarejestrowania pojazdu lub stan techniczny pojazdu nie miał wpływu na zajście nieszczęśliwego wypadku; niniejsze wyłączenie odpowiedzialności nie dotyczy zdarzeń powstałych w następstwie lub w związku z:</w:t>
      </w:r>
    </w:p>
    <w:p w:rsidR="00F04FC5" w:rsidRPr="00F04FC5" w:rsidRDefault="00F04FC5" w:rsidP="00F04FC5">
      <w:pPr>
        <w:numPr>
          <w:ilvl w:val="0"/>
          <w:numId w:val="2"/>
        </w:numPr>
        <w:spacing w:after="0" w:line="240" w:lineRule="auto"/>
        <w:ind w:left="709" w:hanging="425"/>
        <w:jc w:val="both"/>
        <w:rPr>
          <w:rFonts w:ascii="Arial" w:eastAsia="Calibri" w:hAnsi="Arial" w:cs="Arial"/>
          <w:kern w:val="0"/>
          <w:sz w:val="20"/>
          <w:szCs w:val="20"/>
        </w:rPr>
      </w:pPr>
      <w:r w:rsidRPr="00F04FC5">
        <w:rPr>
          <w:rFonts w:ascii="Arial" w:eastAsia="Calibri" w:hAnsi="Arial" w:cs="Arial"/>
          <w:kern w:val="0"/>
          <w:sz w:val="20"/>
          <w:szCs w:val="20"/>
        </w:rPr>
        <w:t xml:space="preserve">jazdą rowerem bez wymaganych uprawnień, jeśli Ubezpieczony kierujący rowerem był w momencie zajścia zdarzenia w wieku od 10 do 18 lat, </w:t>
      </w:r>
    </w:p>
    <w:p w:rsidR="00F04FC5" w:rsidRPr="00F04FC5" w:rsidRDefault="00F04FC5" w:rsidP="00F04FC5">
      <w:pPr>
        <w:numPr>
          <w:ilvl w:val="0"/>
          <w:numId w:val="2"/>
        </w:numPr>
        <w:spacing w:after="0" w:line="240" w:lineRule="auto"/>
        <w:ind w:left="709" w:hanging="425"/>
        <w:jc w:val="both"/>
        <w:rPr>
          <w:rFonts w:ascii="Arial" w:eastAsia="Calibri" w:hAnsi="Arial" w:cs="Arial"/>
          <w:kern w:val="0"/>
          <w:sz w:val="20"/>
          <w:szCs w:val="20"/>
        </w:rPr>
      </w:pPr>
      <w:r w:rsidRPr="00F04FC5">
        <w:rPr>
          <w:rFonts w:ascii="Arial" w:eastAsia="Calibri" w:hAnsi="Arial" w:cs="Arial"/>
          <w:kern w:val="0"/>
          <w:sz w:val="20"/>
          <w:szCs w:val="20"/>
        </w:rPr>
        <w:t xml:space="preserve">jazdą rowerem bez opieki osoby dorosłej, jeśli Ubezpieczony kierujący rowerem był w momencie zajścia zdarzenia w wieku poniżej 10 lat.” </w:t>
      </w:r>
    </w:p>
    <w:p w:rsidR="00F04FC5" w:rsidRPr="00F04FC5" w:rsidRDefault="00F04FC5" w:rsidP="00F04FC5">
      <w:pPr>
        <w:autoSpaceDE w:val="0"/>
        <w:autoSpaceDN w:val="0"/>
        <w:adjustRightInd w:val="0"/>
        <w:spacing w:after="0" w:line="240" w:lineRule="auto"/>
        <w:ind w:left="720"/>
        <w:contextualSpacing/>
        <w:rPr>
          <w:rFonts w:ascii="Arial" w:eastAsia="MyriadPro-Regular" w:hAnsi="Arial" w:cs="Arial"/>
          <w:b/>
          <w:bCs/>
          <w:kern w:val="0"/>
          <w:sz w:val="20"/>
          <w:szCs w:val="20"/>
        </w:rPr>
      </w:pPr>
    </w:p>
    <w:p w:rsidR="00F04FC5" w:rsidRPr="00F04FC5" w:rsidRDefault="00F04FC5" w:rsidP="00F04FC5">
      <w:pPr>
        <w:numPr>
          <w:ilvl w:val="0"/>
          <w:numId w:val="1"/>
        </w:numPr>
        <w:autoSpaceDE w:val="0"/>
        <w:autoSpaceDN w:val="0"/>
        <w:adjustRightInd w:val="0"/>
        <w:spacing w:after="0" w:line="240" w:lineRule="auto"/>
        <w:ind w:hanging="436"/>
        <w:contextualSpacing/>
        <w:rPr>
          <w:rFonts w:ascii="Arial" w:eastAsia="MyriadPro-Regular" w:hAnsi="Arial" w:cs="Arial"/>
          <w:b/>
          <w:bCs/>
          <w:kern w:val="0"/>
          <w:sz w:val="20"/>
          <w:szCs w:val="20"/>
        </w:rPr>
      </w:pPr>
      <w:r w:rsidRPr="00F04FC5">
        <w:rPr>
          <w:rFonts w:ascii="Arial" w:eastAsia="MyriadPro-Regular" w:hAnsi="Arial" w:cs="Arial"/>
          <w:b/>
          <w:bCs/>
          <w:kern w:val="0"/>
          <w:sz w:val="20"/>
          <w:szCs w:val="20"/>
        </w:rPr>
        <w:t>§5 ust 1 pkt 7 – skreśla się</w:t>
      </w:r>
    </w:p>
    <w:p w:rsidR="00F04FC5" w:rsidRPr="00F04FC5" w:rsidRDefault="00F04FC5" w:rsidP="00F04FC5">
      <w:pPr>
        <w:pStyle w:val="Akapitzlist"/>
        <w:numPr>
          <w:ilvl w:val="0"/>
          <w:numId w:val="1"/>
        </w:numPr>
        <w:autoSpaceDE w:val="0"/>
        <w:autoSpaceDN w:val="0"/>
        <w:adjustRightInd w:val="0"/>
        <w:spacing w:after="0" w:line="240" w:lineRule="auto"/>
        <w:ind w:hanging="436"/>
        <w:rPr>
          <w:rFonts w:ascii="Arial" w:hAnsi="Arial" w:cs="Arial"/>
          <w:b/>
          <w:bCs/>
          <w:sz w:val="20"/>
          <w:szCs w:val="20"/>
        </w:rPr>
      </w:pPr>
      <w:r w:rsidRPr="00F04FC5">
        <w:rPr>
          <w:rFonts w:ascii="Arial" w:hAnsi="Arial" w:cs="Arial"/>
          <w:b/>
          <w:bCs/>
          <w:sz w:val="20"/>
          <w:szCs w:val="20"/>
        </w:rPr>
        <w:t>§11 ust. 1 pkt 3) otrzymuje brzmienie:</w:t>
      </w:r>
    </w:p>
    <w:p w:rsidR="00F04FC5" w:rsidRPr="00F04FC5" w:rsidRDefault="00F04FC5" w:rsidP="00F04FC5">
      <w:pPr>
        <w:jc w:val="both"/>
        <w:rPr>
          <w:rFonts w:ascii="Arial" w:hAnsi="Arial" w:cs="Arial"/>
          <w:sz w:val="20"/>
          <w:szCs w:val="20"/>
        </w:rPr>
      </w:pPr>
      <w:r w:rsidRPr="00F04FC5">
        <w:rPr>
          <w:rFonts w:ascii="Arial" w:hAnsi="Arial" w:cs="Arial"/>
          <w:b/>
          <w:bCs/>
          <w:sz w:val="20"/>
          <w:szCs w:val="20"/>
        </w:rPr>
        <w:t>„3) Opcja Dodatkowa D3 - pobyt w szpitalu w wyniku nieszczęśliwego wypadku</w:t>
      </w:r>
      <w:r w:rsidRPr="00F04FC5">
        <w:rPr>
          <w:rFonts w:ascii="Arial" w:hAnsi="Arial" w:cs="Arial"/>
          <w:sz w:val="20"/>
          <w:szCs w:val="20"/>
        </w:rPr>
        <w:t xml:space="preserve"> – świadczenie w wysokości:</w:t>
      </w:r>
    </w:p>
    <w:p w:rsidR="00F04FC5" w:rsidRPr="00F04FC5" w:rsidRDefault="00F04FC5" w:rsidP="00F04FC5">
      <w:pPr>
        <w:pStyle w:val="Akapitzlist"/>
        <w:numPr>
          <w:ilvl w:val="0"/>
          <w:numId w:val="3"/>
        </w:numPr>
        <w:autoSpaceDE w:val="0"/>
        <w:autoSpaceDN w:val="0"/>
        <w:adjustRightInd w:val="0"/>
        <w:spacing w:after="0" w:line="240" w:lineRule="auto"/>
        <w:jc w:val="both"/>
        <w:rPr>
          <w:rFonts w:ascii="Arial" w:eastAsia="MyriadPro-Regular" w:hAnsi="Arial" w:cs="Arial"/>
          <w:sz w:val="20"/>
          <w:szCs w:val="20"/>
        </w:rPr>
      </w:pPr>
      <w:r w:rsidRPr="00F04FC5">
        <w:rPr>
          <w:rFonts w:ascii="Arial" w:eastAsia="MyriadPro-Regular" w:hAnsi="Arial" w:cs="Arial"/>
          <w:sz w:val="20"/>
          <w:szCs w:val="20"/>
        </w:rPr>
        <w:t>1,0% sumy ubezpieczenia określonej w umowie ubezpieczenia dla Opcji Dodatkowej D3, za każdy następny dzień pobytu Ubezpieczonego w szpitalu, począwszy od pierwszego do dziesiątego dnia pobytu w szpitalu, będący następstwem nieszczęśliwego wypadku, który miał miejsce w okresie trwania ochrony ubezpieczeniowej lub w trakcie poprzedniego okresu ubezpieczenia, o ile Ubezpieczony bezpośrednio przed zawarciem przez Ubezpieczającego umowy ubezpieczenia z InterRisk był objęty przez InterRisk ochroną ubezpieczeniową w ramach ubezpieczenia pobytu w szpitalu w wyniku nieszczęśliwego wypadku.</w:t>
      </w:r>
    </w:p>
    <w:p w:rsidR="00F04FC5" w:rsidRPr="00F04FC5" w:rsidRDefault="00F04FC5" w:rsidP="00F04FC5">
      <w:pPr>
        <w:pStyle w:val="Akapitzlist"/>
        <w:numPr>
          <w:ilvl w:val="0"/>
          <w:numId w:val="3"/>
        </w:numPr>
        <w:autoSpaceDE w:val="0"/>
        <w:autoSpaceDN w:val="0"/>
        <w:adjustRightInd w:val="0"/>
        <w:spacing w:after="0" w:line="240" w:lineRule="auto"/>
        <w:jc w:val="both"/>
        <w:rPr>
          <w:rFonts w:ascii="Arial" w:eastAsia="MyriadPro-Regular" w:hAnsi="Arial" w:cs="Arial"/>
          <w:sz w:val="20"/>
          <w:szCs w:val="20"/>
        </w:rPr>
      </w:pPr>
      <w:r w:rsidRPr="00F04FC5">
        <w:rPr>
          <w:rFonts w:ascii="Arial" w:eastAsia="MyriadPro-Regular" w:hAnsi="Arial" w:cs="Arial"/>
          <w:sz w:val="20"/>
          <w:szCs w:val="20"/>
        </w:rPr>
        <w:t>1,5% sumy ubezpieczenia określonej w umowie ubezpieczenia dla Opcji Dodatkowej D3, za każdy następny dzień pobytu Ubezpieczonego w szpitalu, począwszy od jedenastego do 30 dnia pobytu w szpitalu, będący następstwem nieszczęśliwego wypadku, który miał miejsce w okresie trwania ochrony ubezpieczeniowej lub w trakcie poprzedniego okresu ubezpieczenia, o ile Ubezpieczony bezpośrednio przed zawarciem przez Ubezpieczającego umowy ubezpieczenia z InterRisk był objęty przez InterRisk ochroną ubezpieczeniową w ramach ubezpieczenia pobytu w szpitalu w wyniku nieszczęśliwego wypadku.</w:t>
      </w:r>
    </w:p>
    <w:p w:rsidR="00F04FC5" w:rsidRPr="00F04FC5" w:rsidRDefault="00F04FC5" w:rsidP="00F04FC5">
      <w:pPr>
        <w:autoSpaceDE w:val="0"/>
        <w:autoSpaceDN w:val="0"/>
        <w:adjustRightInd w:val="0"/>
        <w:spacing w:after="0" w:line="240" w:lineRule="auto"/>
        <w:jc w:val="both"/>
        <w:rPr>
          <w:rFonts w:ascii="Arial" w:eastAsia="MyriadPro-Regular" w:hAnsi="Arial" w:cs="Arial"/>
          <w:sz w:val="20"/>
          <w:szCs w:val="20"/>
        </w:rPr>
      </w:pPr>
    </w:p>
    <w:p w:rsidR="00F04FC5" w:rsidRPr="00F04FC5" w:rsidRDefault="00F04FC5" w:rsidP="00F04FC5">
      <w:pPr>
        <w:autoSpaceDE w:val="0"/>
        <w:autoSpaceDN w:val="0"/>
        <w:adjustRightInd w:val="0"/>
        <w:spacing w:after="0" w:line="240" w:lineRule="auto"/>
        <w:jc w:val="both"/>
        <w:rPr>
          <w:rFonts w:ascii="Arial" w:eastAsia="MyriadPro-Regular" w:hAnsi="Arial" w:cs="Arial"/>
          <w:sz w:val="20"/>
          <w:szCs w:val="20"/>
        </w:rPr>
      </w:pPr>
      <w:r w:rsidRPr="00F04FC5">
        <w:rPr>
          <w:rFonts w:ascii="Arial" w:eastAsia="MyriadPro-Regular" w:hAnsi="Arial" w:cs="Arial"/>
          <w:sz w:val="20"/>
          <w:szCs w:val="20"/>
        </w:rPr>
        <w:t xml:space="preserve">W przypadku kolejnych, następujących po sobie pobytów w szpitalu w związku z tym samym nieszczęśliwym wypadkiem świadczenie szpitalne przysługuje od pierwszego dnia pobytu w szpitalu, pod warunkiem, że pobyt w szpitalu trwał minimum 2 dni. </w:t>
      </w:r>
    </w:p>
    <w:p w:rsidR="00F04FC5" w:rsidRPr="00F04FC5" w:rsidRDefault="00F04FC5" w:rsidP="00F04FC5">
      <w:pPr>
        <w:autoSpaceDE w:val="0"/>
        <w:autoSpaceDN w:val="0"/>
        <w:adjustRightInd w:val="0"/>
        <w:spacing w:after="0" w:line="240" w:lineRule="auto"/>
        <w:jc w:val="both"/>
        <w:rPr>
          <w:rFonts w:ascii="Arial" w:eastAsia="MyriadPro-Regular" w:hAnsi="Arial" w:cs="Arial"/>
          <w:sz w:val="20"/>
          <w:szCs w:val="20"/>
        </w:rPr>
      </w:pPr>
      <w:r w:rsidRPr="00F04FC5">
        <w:rPr>
          <w:rFonts w:ascii="Arial" w:eastAsia="MyriadPro-Regular" w:hAnsi="Arial" w:cs="Arial"/>
          <w:sz w:val="20"/>
          <w:szCs w:val="20"/>
        </w:rPr>
        <w:t>Świadczenie z tytułu pobytu w szpitalu w wyniku nieszczęśliwego wypadku przysługuje maksymalnie za 100 dni pobytu Ubezpieczonego w szpitalu. Gdy wypis ze szpitala nastąpi po zakończeniu okresu ubezpieczenia pobyt w szpitalu jest objęty odpowiedzialnością Ubezpieczyciela, pod warunkiem, że przyjęcie do szpitala nastąpiło w okresie ubezpieczenia.”</w:t>
      </w:r>
    </w:p>
    <w:p w:rsidR="00D82CDF" w:rsidRPr="00F04FC5" w:rsidRDefault="00D82CDF"/>
    <w:p w:rsidR="00F04FC5" w:rsidRPr="00F04FC5" w:rsidRDefault="00F04FC5" w:rsidP="00F04FC5">
      <w:pPr>
        <w:numPr>
          <w:ilvl w:val="0"/>
          <w:numId w:val="4"/>
        </w:numPr>
        <w:autoSpaceDE w:val="0"/>
        <w:autoSpaceDN w:val="0"/>
        <w:adjustRightInd w:val="0"/>
        <w:spacing w:after="0" w:line="240" w:lineRule="auto"/>
        <w:ind w:hanging="436"/>
        <w:contextualSpacing/>
        <w:rPr>
          <w:rFonts w:ascii="Arial" w:eastAsia="Calibri" w:hAnsi="Arial" w:cs="Arial"/>
          <w:b/>
          <w:bCs/>
          <w:kern w:val="0"/>
          <w:sz w:val="20"/>
          <w:szCs w:val="20"/>
        </w:rPr>
      </w:pPr>
      <w:r w:rsidRPr="00F04FC5">
        <w:rPr>
          <w:rFonts w:ascii="Arial" w:eastAsia="Calibri" w:hAnsi="Arial" w:cs="Arial"/>
          <w:b/>
          <w:bCs/>
          <w:kern w:val="0"/>
          <w:sz w:val="20"/>
          <w:szCs w:val="20"/>
        </w:rPr>
        <w:t>§11 pkt 4) otrzymuje brzmienie:</w:t>
      </w:r>
    </w:p>
    <w:p w:rsidR="00F04FC5" w:rsidRPr="00F04FC5" w:rsidRDefault="00F04FC5" w:rsidP="00F04FC5">
      <w:pPr>
        <w:autoSpaceDE w:val="0"/>
        <w:autoSpaceDN w:val="0"/>
        <w:adjustRightInd w:val="0"/>
        <w:spacing w:after="0" w:line="240" w:lineRule="auto"/>
        <w:jc w:val="both"/>
        <w:rPr>
          <w:rFonts w:ascii="Arial" w:eastAsia="MyriadPro-Regular" w:hAnsi="Arial" w:cs="Arial"/>
          <w:kern w:val="0"/>
          <w:sz w:val="20"/>
          <w:szCs w:val="20"/>
        </w:rPr>
      </w:pPr>
      <w:r w:rsidRPr="00F04FC5">
        <w:rPr>
          <w:rFonts w:ascii="Arial" w:eastAsia="MyriadPro-Regular" w:hAnsi="Arial" w:cs="Arial"/>
          <w:kern w:val="0"/>
          <w:sz w:val="20"/>
          <w:szCs w:val="20"/>
        </w:rPr>
        <w:t xml:space="preserve">„4) </w:t>
      </w:r>
      <w:r w:rsidRPr="00F04FC5">
        <w:rPr>
          <w:rFonts w:ascii="Arial" w:eastAsia="MyriadPro-Regular" w:hAnsi="Arial" w:cs="Arial"/>
          <w:b/>
          <w:bCs/>
          <w:kern w:val="0"/>
          <w:sz w:val="20"/>
          <w:szCs w:val="20"/>
        </w:rPr>
        <w:t>Opcja Dodatkowa D4 – pobyt w szpitalu w wyniku choroby</w:t>
      </w:r>
      <w:r w:rsidRPr="00F04FC5">
        <w:rPr>
          <w:rFonts w:ascii="Arial" w:eastAsia="MyriadPro-Regular" w:hAnsi="Arial" w:cs="Arial"/>
          <w:kern w:val="0"/>
          <w:sz w:val="20"/>
          <w:szCs w:val="20"/>
        </w:rPr>
        <w:t xml:space="preserve"> – świadczenie w wysokości 1% sumy ubezpieczenia określonej w umowie ubezpieczenia dla Opcji Dodatkowej D4, za każdy następny dzień pobytu w szpitalu, począwszy od drugiego dnia pobytu w szpitalu, w związku z chorobą, która została rozpoznana w trakcie trwania ochrony ubezpieczeniowej. W przypadku kolejnych, następujących</w:t>
      </w:r>
    </w:p>
    <w:p w:rsidR="00F04FC5" w:rsidRPr="00F04FC5" w:rsidRDefault="00F04FC5" w:rsidP="00F04FC5">
      <w:pPr>
        <w:autoSpaceDE w:val="0"/>
        <w:autoSpaceDN w:val="0"/>
        <w:adjustRightInd w:val="0"/>
        <w:spacing w:after="0" w:line="240" w:lineRule="auto"/>
        <w:jc w:val="both"/>
        <w:rPr>
          <w:rFonts w:ascii="Arial" w:eastAsia="MyriadPro-Regular" w:hAnsi="Arial" w:cs="Arial"/>
          <w:kern w:val="0"/>
          <w:sz w:val="20"/>
          <w:szCs w:val="20"/>
        </w:rPr>
      </w:pPr>
      <w:r w:rsidRPr="00F04FC5">
        <w:rPr>
          <w:rFonts w:ascii="Arial" w:eastAsia="MyriadPro-Regular" w:hAnsi="Arial" w:cs="Arial"/>
          <w:kern w:val="0"/>
          <w:sz w:val="20"/>
          <w:szCs w:val="20"/>
        </w:rPr>
        <w:t>po sobie pobytów w szpitalu w związku z tą samą chorobą świadczenie szpitalne przysługuje od pierwszego dnia pobytu w szpitalu, pod warunkiem że pobyt w szpitalu trwał minimum 3 dni. Świadczenie z tytułu pobytu w szpitalu w wyniku choroby przysługuje maksymalnie za 100 dni pobytu w szpitalu. Gdy wypis ze szpitala nastąpi po zakończeniu okresu ubezpieczenia pobyt w szpitalu</w:t>
      </w:r>
    </w:p>
    <w:p w:rsidR="00F04FC5" w:rsidRPr="00F04FC5" w:rsidRDefault="00F04FC5" w:rsidP="00F04FC5">
      <w:pPr>
        <w:autoSpaceDE w:val="0"/>
        <w:autoSpaceDN w:val="0"/>
        <w:adjustRightInd w:val="0"/>
        <w:spacing w:after="0" w:line="240" w:lineRule="auto"/>
        <w:jc w:val="both"/>
        <w:rPr>
          <w:rFonts w:ascii="Arial" w:eastAsia="MyriadPro-Regular" w:hAnsi="Arial" w:cs="Arial"/>
          <w:kern w:val="0"/>
          <w:sz w:val="20"/>
          <w:szCs w:val="20"/>
        </w:rPr>
      </w:pPr>
      <w:r w:rsidRPr="00F04FC5">
        <w:rPr>
          <w:rFonts w:ascii="Arial" w:eastAsia="MyriadPro-Regular" w:hAnsi="Arial" w:cs="Arial"/>
          <w:kern w:val="0"/>
          <w:sz w:val="20"/>
          <w:szCs w:val="20"/>
        </w:rPr>
        <w:t>jest objęty odpowiedzialnością Ubezpieczyciela, pod warunkiem że przyjęcie do szpitala nastąpiło w trakcie trwania ochrony ubezpieczeniowej;”</w:t>
      </w:r>
    </w:p>
    <w:p w:rsidR="00F04FC5" w:rsidRPr="00F04FC5" w:rsidRDefault="00F04FC5" w:rsidP="00F04FC5">
      <w:pPr>
        <w:autoSpaceDE w:val="0"/>
        <w:autoSpaceDN w:val="0"/>
        <w:adjustRightInd w:val="0"/>
        <w:spacing w:after="0" w:line="240" w:lineRule="auto"/>
        <w:rPr>
          <w:rFonts w:ascii="Arial" w:eastAsia="MyriadPro-Regular" w:hAnsi="Arial" w:cs="Arial"/>
          <w:kern w:val="0"/>
          <w:sz w:val="20"/>
          <w:szCs w:val="20"/>
        </w:rPr>
      </w:pPr>
    </w:p>
    <w:p w:rsidR="00F04FC5" w:rsidRPr="00F04FC5" w:rsidRDefault="00F04FC5" w:rsidP="00F04FC5">
      <w:pPr>
        <w:numPr>
          <w:ilvl w:val="0"/>
          <w:numId w:val="6"/>
        </w:numPr>
        <w:spacing w:after="0" w:line="240" w:lineRule="auto"/>
        <w:ind w:hanging="436"/>
        <w:contextualSpacing/>
        <w:jc w:val="both"/>
        <w:rPr>
          <w:rFonts w:ascii="Arial" w:eastAsia="Calibri" w:hAnsi="Arial" w:cs="Arial"/>
          <w:kern w:val="0"/>
          <w:sz w:val="20"/>
          <w:szCs w:val="20"/>
        </w:rPr>
      </w:pPr>
      <w:r w:rsidRPr="00F04FC5">
        <w:rPr>
          <w:rFonts w:ascii="Arial" w:eastAsia="Calibri" w:hAnsi="Arial" w:cs="Arial"/>
          <w:b/>
          <w:kern w:val="0"/>
          <w:sz w:val="20"/>
          <w:szCs w:val="20"/>
        </w:rPr>
        <w:t>w § 13 ust. 9</w:t>
      </w:r>
      <w:r w:rsidRPr="00F04FC5">
        <w:rPr>
          <w:rFonts w:ascii="Arial" w:eastAsia="Calibri" w:hAnsi="Arial" w:cs="Arial"/>
          <w:kern w:val="0"/>
          <w:sz w:val="20"/>
          <w:szCs w:val="20"/>
        </w:rPr>
        <w:t xml:space="preserve"> </w:t>
      </w:r>
      <w:r w:rsidRPr="00F04FC5">
        <w:rPr>
          <w:rFonts w:ascii="Arial" w:eastAsia="Calibri" w:hAnsi="Arial" w:cs="Arial"/>
          <w:b/>
          <w:bCs/>
          <w:kern w:val="0"/>
          <w:sz w:val="20"/>
          <w:szCs w:val="20"/>
        </w:rPr>
        <w:t>otrzymuje brzmienie:</w:t>
      </w:r>
    </w:p>
    <w:p w:rsidR="00F04FC5" w:rsidRPr="00F04FC5" w:rsidRDefault="00F04FC5" w:rsidP="00F04FC5">
      <w:pPr>
        <w:spacing w:after="0" w:line="240" w:lineRule="auto"/>
        <w:contextualSpacing/>
        <w:rPr>
          <w:rFonts w:ascii="Arial" w:eastAsia="Calibri" w:hAnsi="Arial" w:cs="Arial"/>
          <w:kern w:val="0"/>
          <w:sz w:val="20"/>
          <w:szCs w:val="20"/>
        </w:rPr>
      </w:pPr>
      <w:r w:rsidRPr="00F04FC5">
        <w:rPr>
          <w:rFonts w:ascii="Arial" w:eastAsia="Calibri" w:hAnsi="Arial" w:cs="Arial"/>
          <w:kern w:val="0"/>
          <w:sz w:val="20"/>
          <w:szCs w:val="20"/>
        </w:rPr>
        <w:t xml:space="preserve">„9.  Górną granicą odpowiedzialności InterRisk jest: </w:t>
      </w:r>
    </w:p>
    <w:p w:rsidR="00F04FC5" w:rsidRPr="00F04FC5" w:rsidRDefault="00F04FC5" w:rsidP="00F04FC5">
      <w:pPr>
        <w:numPr>
          <w:ilvl w:val="0"/>
          <w:numId w:val="5"/>
        </w:numPr>
        <w:spacing w:after="0" w:line="240" w:lineRule="auto"/>
        <w:ind w:left="709"/>
        <w:contextualSpacing/>
        <w:jc w:val="both"/>
        <w:rPr>
          <w:rFonts w:ascii="Arial" w:eastAsia="Calibri" w:hAnsi="Arial" w:cs="Arial"/>
          <w:kern w:val="0"/>
          <w:sz w:val="20"/>
          <w:szCs w:val="20"/>
        </w:rPr>
      </w:pPr>
      <w:r w:rsidRPr="00F04FC5">
        <w:rPr>
          <w:rFonts w:ascii="Arial" w:eastAsia="MyriadPro-Regular" w:hAnsi="Arial" w:cs="Arial"/>
          <w:kern w:val="0"/>
          <w:sz w:val="20"/>
          <w:szCs w:val="20"/>
        </w:rPr>
        <w:t xml:space="preserve">w przypadku Opcji Podstawowej, Opcji Podstawowej Plus, Opcji Ochrona, Opcji Ochrona Plus </w:t>
      </w:r>
      <w:r w:rsidRPr="00F04FC5">
        <w:rPr>
          <w:rFonts w:ascii="Arial" w:eastAsia="MyriadPro-Regular" w:hAnsi="Arial" w:cs="Arial" w:hint="eastAsia"/>
          <w:kern w:val="0"/>
          <w:sz w:val="20"/>
          <w:szCs w:val="20"/>
        </w:rPr>
        <w:t>–</w:t>
      </w:r>
      <w:r w:rsidRPr="00F04FC5">
        <w:rPr>
          <w:rFonts w:ascii="Arial" w:eastAsia="MyriadPro-Regular" w:hAnsi="Arial" w:cs="Arial"/>
          <w:kern w:val="0"/>
          <w:sz w:val="20"/>
          <w:szCs w:val="20"/>
        </w:rPr>
        <w:t xml:space="preserve"> kwota stanowi</w:t>
      </w:r>
      <w:r w:rsidRPr="00F04FC5">
        <w:rPr>
          <w:rFonts w:ascii="Arial" w:eastAsia="MyriadPro-Regular" w:hAnsi="Arial" w:cs="Arial" w:hint="eastAsia"/>
          <w:kern w:val="0"/>
          <w:sz w:val="20"/>
          <w:szCs w:val="20"/>
        </w:rPr>
        <w:t>ą</w:t>
      </w:r>
      <w:r w:rsidRPr="00F04FC5">
        <w:rPr>
          <w:rFonts w:ascii="Arial" w:eastAsia="MyriadPro-Regular" w:hAnsi="Arial" w:cs="Arial"/>
          <w:kern w:val="0"/>
          <w:sz w:val="20"/>
          <w:szCs w:val="20"/>
        </w:rPr>
        <w:t>ca 100% sumy ubezpieczenia okre</w:t>
      </w:r>
      <w:r w:rsidRPr="00F04FC5">
        <w:rPr>
          <w:rFonts w:ascii="Arial" w:eastAsia="MyriadPro-Regular" w:hAnsi="Arial" w:cs="Arial" w:hint="eastAsia"/>
          <w:kern w:val="0"/>
          <w:sz w:val="20"/>
          <w:szCs w:val="20"/>
        </w:rPr>
        <w:t>ś</w:t>
      </w:r>
      <w:r w:rsidRPr="00F04FC5">
        <w:rPr>
          <w:rFonts w:ascii="Arial" w:eastAsia="MyriadPro-Regular" w:hAnsi="Arial" w:cs="Arial"/>
          <w:kern w:val="0"/>
          <w:sz w:val="20"/>
          <w:szCs w:val="20"/>
        </w:rPr>
        <w:t>lonej w umowie ubezpieczenia dla Opcji Podstawowej, Opcji Podstawowej Plus, Opcji Ochrona, Opcji Ochrona Plus, z zastrze</w:t>
      </w:r>
      <w:r w:rsidRPr="00F04FC5">
        <w:rPr>
          <w:rFonts w:ascii="Arial" w:eastAsia="MyriadPro-Regular" w:hAnsi="Arial" w:cs="Arial" w:hint="eastAsia"/>
          <w:kern w:val="0"/>
          <w:sz w:val="20"/>
          <w:szCs w:val="20"/>
        </w:rPr>
        <w:t>ż</w:t>
      </w:r>
      <w:r w:rsidRPr="00F04FC5">
        <w:rPr>
          <w:rFonts w:ascii="Arial" w:eastAsia="MyriadPro-Regular" w:hAnsi="Arial" w:cs="Arial"/>
          <w:kern w:val="0"/>
          <w:sz w:val="20"/>
          <w:szCs w:val="20"/>
        </w:rPr>
        <w:t>eniem pkt 2);</w:t>
      </w:r>
    </w:p>
    <w:p w:rsidR="00F04FC5" w:rsidRPr="00F04FC5" w:rsidRDefault="00F04FC5" w:rsidP="00F04FC5">
      <w:pPr>
        <w:numPr>
          <w:ilvl w:val="0"/>
          <w:numId w:val="5"/>
        </w:numPr>
        <w:spacing w:after="0" w:line="240" w:lineRule="auto"/>
        <w:ind w:left="709"/>
        <w:contextualSpacing/>
        <w:jc w:val="both"/>
        <w:rPr>
          <w:rFonts w:ascii="Arial" w:eastAsia="Calibri" w:hAnsi="Arial" w:cs="Arial"/>
          <w:kern w:val="0"/>
          <w:sz w:val="20"/>
          <w:szCs w:val="20"/>
        </w:rPr>
      </w:pPr>
      <w:r w:rsidRPr="00F04FC5">
        <w:rPr>
          <w:rFonts w:ascii="Arial" w:eastAsia="Calibri" w:hAnsi="Arial" w:cs="Arial"/>
          <w:kern w:val="0"/>
          <w:sz w:val="20"/>
          <w:szCs w:val="20"/>
        </w:rPr>
        <w:t xml:space="preserve">w przypadku śmierci Ubezpieczonego w wyniku nieszczęśliwego wypadku na terenie placówki oświatowej – kwota stanowiąca 400% sumy ubezpieczenia określonej w umowie ubezpieczenia dla Opcji Podstawowej, Opcji Podstawowej Plus lub Ochrona Plus;  </w:t>
      </w:r>
    </w:p>
    <w:p w:rsidR="00F04FC5" w:rsidRPr="00F04FC5" w:rsidRDefault="00F04FC5" w:rsidP="00F04FC5">
      <w:pPr>
        <w:numPr>
          <w:ilvl w:val="0"/>
          <w:numId w:val="5"/>
        </w:numPr>
        <w:spacing w:after="0" w:line="240" w:lineRule="auto"/>
        <w:ind w:left="709"/>
        <w:contextualSpacing/>
        <w:jc w:val="both"/>
        <w:rPr>
          <w:rFonts w:ascii="Arial" w:eastAsia="Calibri" w:hAnsi="Arial" w:cs="Arial"/>
          <w:kern w:val="0"/>
          <w:sz w:val="20"/>
          <w:szCs w:val="20"/>
        </w:rPr>
      </w:pPr>
      <w:r w:rsidRPr="00F04FC5">
        <w:rPr>
          <w:rFonts w:ascii="Arial" w:eastAsia="Calibri" w:hAnsi="Arial" w:cs="Arial"/>
          <w:kern w:val="0"/>
          <w:sz w:val="20"/>
          <w:szCs w:val="20"/>
        </w:rPr>
        <w:t xml:space="preserve">w przypadku Opcji Hejt Stop – kwota stanowiąca 100% sumy ubezpieczenia określonej w umowie ubezpieczenia dla Opcji Hejt Stop; </w:t>
      </w:r>
    </w:p>
    <w:p w:rsidR="00F04FC5" w:rsidRPr="00F04FC5" w:rsidRDefault="00F04FC5" w:rsidP="00F04FC5">
      <w:pPr>
        <w:numPr>
          <w:ilvl w:val="0"/>
          <w:numId w:val="5"/>
        </w:numPr>
        <w:spacing w:after="0" w:line="240" w:lineRule="auto"/>
        <w:ind w:left="709"/>
        <w:contextualSpacing/>
        <w:jc w:val="both"/>
        <w:rPr>
          <w:rFonts w:ascii="Arial" w:eastAsia="Calibri" w:hAnsi="Arial" w:cs="Arial"/>
          <w:kern w:val="0"/>
          <w:sz w:val="20"/>
          <w:szCs w:val="20"/>
        </w:rPr>
      </w:pPr>
      <w:r w:rsidRPr="00F04FC5">
        <w:rPr>
          <w:rFonts w:ascii="Arial" w:eastAsia="Calibri" w:hAnsi="Arial" w:cs="Arial"/>
          <w:kern w:val="0"/>
          <w:sz w:val="20"/>
          <w:szCs w:val="20"/>
        </w:rPr>
        <w:t>w przypadku Opcji Dodatkowych (D1-D2, D4-D20) – kwota stanowiąca 100% sumy ubezpieczenia określonej w umowie ubezpieczenia dla danej Opcji Dodatkowej D1-D2, D4-D20;</w:t>
      </w:r>
    </w:p>
    <w:p w:rsidR="00F04FC5" w:rsidRPr="00F04FC5" w:rsidRDefault="00F04FC5" w:rsidP="00F04FC5">
      <w:pPr>
        <w:numPr>
          <w:ilvl w:val="0"/>
          <w:numId w:val="5"/>
        </w:numPr>
        <w:spacing w:after="0" w:line="240" w:lineRule="auto"/>
        <w:ind w:left="709"/>
        <w:contextualSpacing/>
        <w:jc w:val="both"/>
        <w:rPr>
          <w:rFonts w:ascii="Arial" w:eastAsia="Calibri" w:hAnsi="Arial" w:cs="Arial"/>
          <w:kern w:val="0"/>
          <w:sz w:val="20"/>
          <w:szCs w:val="20"/>
        </w:rPr>
      </w:pPr>
      <w:r w:rsidRPr="00F04FC5">
        <w:rPr>
          <w:rFonts w:ascii="Arial" w:eastAsia="Calibri" w:hAnsi="Arial" w:cs="Arial"/>
          <w:kern w:val="0"/>
          <w:sz w:val="20"/>
          <w:szCs w:val="20"/>
        </w:rPr>
        <w:t>w przypadku Opcji Dodatkowej D3 – kwota stanowiąca 145% sumy ubezpieczenia określonej w umowie ubezpieczenia dla Opcji Dodatkowej D3.”</w:t>
      </w:r>
    </w:p>
    <w:p w:rsidR="00F04FC5" w:rsidRPr="00F04FC5" w:rsidRDefault="00F04FC5"/>
    <w:sectPr w:rsidR="00F04FC5" w:rsidRPr="00F04FC5" w:rsidSect="00665C0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MyriadPro-Bold">
    <w:altName w:val="Calibri"/>
    <w:panose1 w:val="00000000000000000000"/>
    <w:charset w:val="EE"/>
    <w:family w:val="swiss"/>
    <w:notTrueType/>
    <w:pitch w:val="default"/>
    <w:sig w:usb0="00000005" w:usb1="00000000" w:usb2="00000000" w:usb3="00000000" w:csb0="00000002" w:csb1="00000000"/>
  </w:font>
  <w:font w:name="Aptos Display">
    <w:charset w:val="00"/>
    <w:family w:val="swiss"/>
    <w:pitch w:val="variable"/>
    <w:sig w:usb0="20000287" w:usb1="00000003" w:usb2="00000000" w:usb3="00000000" w:csb0="0000019F" w:csb1="00000000"/>
  </w:font>
  <w:font w:name="MyriadPro-Regular">
    <w:altName w:val="Yu Gothic"/>
    <w:panose1 w:val="00000000000000000000"/>
    <w:charset w:val="00"/>
    <w:family w:val="roman"/>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59C"/>
    <w:multiLevelType w:val="hybridMultilevel"/>
    <w:tmpl w:val="CDCEDFBE"/>
    <w:lvl w:ilvl="0" w:tplc="6EF07B3A">
      <w:start w:val="1"/>
      <w:numFmt w:val="decimal"/>
      <w:lvlText w:val="%1)"/>
      <w:lvlJc w:val="left"/>
      <w:pPr>
        <w:ind w:left="1354" w:hanging="360"/>
      </w:pPr>
      <w:rPr>
        <w:rFonts w:ascii="Calibri" w:hAnsi="Calibri" w:cs="Times New Roman" w:hint="default"/>
        <w:b w:val="0"/>
        <w:i w:val="0"/>
        <w:sz w:val="22"/>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1">
    <w:nsid w:val="0664531B"/>
    <w:multiLevelType w:val="hybridMultilevel"/>
    <w:tmpl w:val="BC885868"/>
    <w:lvl w:ilvl="0" w:tplc="4D0090A2">
      <w:start w:val="1"/>
      <w:numFmt w:val="lowerLetter"/>
      <w:lvlText w:val="%1)"/>
      <w:lvlJc w:val="left"/>
      <w:pPr>
        <w:ind w:left="1125" w:hanging="360"/>
      </w:pPr>
      <w:rPr>
        <w:rFonts w:ascii="Arial" w:hAnsi="Arial" w:cs="Times New Roman" w:hint="default"/>
        <w:b w:val="0"/>
        <w:i w:val="0"/>
        <w:sz w:val="18"/>
      </w:rPr>
    </w:lvl>
    <w:lvl w:ilvl="1" w:tplc="E6E21826">
      <w:start w:val="4"/>
      <w:numFmt w:val="decimal"/>
      <w:lvlText w:val="%2."/>
      <w:lvlJc w:val="left"/>
      <w:pPr>
        <w:ind w:left="1845" w:hanging="360"/>
      </w:pPr>
      <w:rPr>
        <w:rFonts w:asciiTheme="minorHAnsi" w:hAnsiTheme="minorHAnsi" w:cstheme="minorBidi" w:hint="default"/>
        <w:sz w:val="20"/>
      </w:rPr>
    </w:lvl>
    <w:lvl w:ilvl="2" w:tplc="0415001B" w:tentative="1">
      <w:start w:val="1"/>
      <w:numFmt w:val="lowerRoman"/>
      <w:lvlText w:val="%3."/>
      <w:lvlJc w:val="right"/>
      <w:pPr>
        <w:ind w:left="2565" w:hanging="180"/>
      </w:pPr>
      <w:rPr>
        <w:rFonts w:cs="Times New Roman"/>
      </w:rPr>
    </w:lvl>
    <w:lvl w:ilvl="3" w:tplc="0415000F" w:tentative="1">
      <w:start w:val="1"/>
      <w:numFmt w:val="decimal"/>
      <w:lvlText w:val="%4."/>
      <w:lvlJc w:val="left"/>
      <w:pPr>
        <w:ind w:left="3285" w:hanging="360"/>
      </w:pPr>
      <w:rPr>
        <w:rFonts w:cs="Times New Roman"/>
      </w:rPr>
    </w:lvl>
    <w:lvl w:ilvl="4" w:tplc="04150019" w:tentative="1">
      <w:start w:val="1"/>
      <w:numFmt w:val="lowerLetter"/>
      <w:lvlText w:val="%5."/>
      <w:lvlJc w:val="left"/>
      <w:pPr>
        <w:ind w:left="4005" w:hanging="360"/>
      </w:pPr>
      <w:rPr>
        <w:rFonts w:cs="Times New Roman"/>
      </w:rPr>
    </w:lvl>
    <w:lvl w:ilvl="5" w:tplc="0415001B" w:tentative="1">
      <w:start w:val="1"/>
      <w:numFmt w:val="lowerRoman"/>
      <w:lvlText w:val="%6."/>
      <w:lvlJc w:val="right"/>
      <w:pPr>
        <w:ind w:left="4725" w:hanging="180"/>
      </w:pPr>
      <w:rPr>
        <w:rFonts w:cs="Times New Roman"/>
      </w:rPr>
    </w:lvl>
    <w:lvl w:ilvl="6" w:tplc="0415000F" w:tentative="1">
      <w:start w:val="1"/>
      <w:numFmt w:val="decimal"/>
      <w:lvlText w:val="%7."/>
      <w:lvlJc w:val="left"/>
      <w:pPr>
        <w:ind w:left="5445" w:hanging="360"/>
      </w:pPr>
      <w:rPr>
        <w:rFonts w:cs="Times New Roman"/>
      </w:rPr>
    </w:lvl>
    <w:lvl w:ilvl="7" w:tplc="04150019" w:tentative="1">
      <w:start w:val="1"/>
      <w:numFmt w:val="lowerLetter"/>
      <w:lvlText w:val="%8."/>
      <w:lvlJc w:val="left"/>
      <w:pPr>
        <w:ind w:left="6165" w:hanging="360"/>
      </w:pPr>
      <w:rPr>
        <w:rFonts w:cs="Times New Roman"/>
      </w:rPr>
    </w:lvl>
    <w:lvl w:ilvl="8" w:tplc="0415001B" w:tentative="1">
      <w:start w:val="1"/>
      <w:numFmt w:val="lowerRoman"/>
      <w:lvlText w:val="%9."/>
      <w:lvlJc w:val="right"/>
      <w:pPr>
        <w:ind w:left="6885" w:hanging="180"/>
      </w:pPr>
      <w:rPr>
        <w:rFonts w:cs="Times New Roman"/>
      </w:rPr>
    </w:lvl>
  </w:abstractNum>
  <w:abstractNum w:abstractNumId="2">
    <w:nsid w:val="1B391C13"/>
    <w:multiLevelType w:val="hybridMultilevel"/>
    <w:tmpl w:val="C5409D14"/>
    <w:lvl w:ilvl="0" w:tplc="0216774C">
      <w:start w:val="1"/>
      <w:numFmt w:val="decimal"/>
      <w:lvlText w:val="%1."/>
      <w:lvlJc w:val="left"/>
      <w:pPr>
        <w:ind w:left="720" w:hanging="360"/>
      </w:pPr>
      <w:rPr>
        <w:rFonts w:ascii="Calibri" w:hAnsi="Calibri" w:hint="default"/>
        <w:b w:val="0"/>
        <w:i w:val="0"/>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F191E04"/>
    <w:multiLevelType w:val="hybridMultilevel"/>
    <w:tmpl w:val="889A214A"/>
    <w:lvl w:ilvl="0" w:tplc="FAF41C60">
      <w:start w:val="1"/>
      <w:numFmt w:val="lowerLetter"/>
      <w:lvlText w:val="%1)"/>
      <w:lvlJc w:val="left"/>
      <w:pPr>
        <w:ind w:left="720" w:hanging="360"/>
      </w:pPr>
      <w:rPr>
        <w:rFonts w:cs="MyriadPro-Bold"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2441937"/>
    <w:multiLevelType w:val="hybridMultilevel"/>
    <w:tmpl w:val="068A43B6"/>
    <w:lvl w:ilvl="0" w:tplc="E53CDAE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48A2174"/>
    <w:multiLevelType w:val="hybridMultilevel"/>
    <w:tmpl w:val="3788DA26"/>
    <w:lvl w:ilvl="0" w:tplc="EA98868E">
      <w:start w:val="6"/>
      <w:numFmt w:val="decimal"/>
      <w:lvlText w:val="%1."/>
      <w:lvlJc w:val="left"/>
      <w:pPr>
        <w:ind w:left="720" w:hanging="360"/>
      </w:pPr>
      <w:rPr>
        <w:rFonts w:ascii="Calibri" w:hAnsi="Calibri" w:hint="default"/>
        <w:b w:val="0"/>
        <w:i w:val="0"/>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04FC5"/>
    <w:rsid w:val="000E1D04"/>
    <w:rsid w:val="002F73B3"/>
    <w:rsid w:val="00665C03"/>
    <w:rsid w:val="00A31EAD"/>
    <w:rsid w:val="00C57E9F"/>
    <w:rsid w:val="00D82CDF"/>
    <w:rsid w:val="00E0497F"/>
    <w:rsid w:val="00F04F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5C03"/>
  </w:style>
  <w:style w:type="paragraph" w:styleId="Nagwek1">
    <w:name w:val="heading 1"/>
    <w:basedOn w:val="Normalny"/>
    <w:next w:val="Normalny"/>
    <w:link w:val="Nagwek1Znak"/>
    <w:uiPriority w:val="9"/>
    <w:qFormat/>
    <w:rsid w:val="00F04F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04F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04FC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04FC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04FC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04FC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4FC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4FC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4FC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4FC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04FC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04FC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04FC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04FC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04FC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4FC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4FC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4FC5"/>
    <w:rPr>
      <w:rFonts w:eastAsiaTheme="majorEastAsia" w:cstheme="majorBidi"/>
      <w:color w:val="272727" w:themeColor="text1" w:themeTint="D8"/>
    </w:rPr>
  </w:style>
  <w:style w:type="paragraph" w:styleId="Tytu">
    <w:name w:val="Title"/>
    <w:basedOn w:val="Normalny"/>
    <w:next w:val="Normalny"/>
    <w:link w:val="TytuZnak"/>
    <w:uiPriority w:val="10"/>
    <w:qFormat/>
    <w:rsid w:val="00F04F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4FC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4FC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4FC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4FC5"/>
    <w:pPr>
      <w:spacing w:before="160"/>
      <w:jc w:val="center"/>
    </w:pPr>
    <w:rPr>
      <w:i/>
      <w:iCs/>
      <w:color w:val="404040" w:themeColor="text1" w:themeTint="BF"/>
    </w:rPr>
  </w:style>
  <w:style w:type="character" w:customStyle="1" w:styleId="CytatZnak">
    <w:name w:val="Cytat Znak"/>
    <w:basedOn w:val="Domylnaczcionkaakapitu"/>
    <w:link w:val="Cytat"/>
    <w:uiPriority w:val="29"/>
    <w:rsid w:val="00F04FC5"/>
    <w:rPr>
      <w:i/>
      <w:iCs/>
      <w:color w:val="404040" w:themeColor="text1" w:themeTint="BF"/>
    </w:rPr>
  </w:style>
  <w:style w:type="paragraph" w:styleId="Akapitzlist">
    <w:name w:val="List Paragraph"/>
    <w:basedOn w:val="Normalny"/>
    <w:link w:val="AkapitzlistZnak"/>
    <w:uiPriority w:val="34"/>
    <w:qFormat/>
    <w:rsid w:val="00F04FC5"/>
    <w:pPr>
      <w:ind w:left="720"/>
      <w:contextualSpacing/>
    </w:pPr>
  </w:style>
  <w:style w:type="character" w:styleId="Wyrnienieintensywne">
    <w:name w:val="Intense Emphasis"/>
    <w:basedOn w:val="Domylnaczcionkaakapitu"/>
    <w:uiPriority w:val="21"/>
    <w:qFormat/>
    <w:rsid w:val="00F04FC5"/>
    <w:rPr>
      <w:i/>
      <w:iCs/>
      <w:color w:val="0F4761" w:themeColor="accent1" w:themeShade="BF"/>
    </w:rPr>
  </w:style>
  <w:style w:type="paragraph" w:styleId="Cytatintensywny">
    <w:name w:val="Intense Quote"/>
    <w:basedOn w:val="Normalny"/>
    <w:next w:val="Normalny"/>
    <w:link w:val="CytatintensywnyZnak"/>
    <w:uiPriority w:val="30"/>
    <w:qFormat/>
    <w:rsid w:val="00F04F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04FC5"/>
    <w:rPr>
      <w:i/>
      <w:iCs/>
      <w:color w:val="0F4761" w:themeColor="accent1" w:themeShade="BF"/>
    </w:rPr>
  </w:style>
  <w:style w:type="character" w:styleId="Odwoanieintensywne">
    <w:name w:val="Intense Reference"/>
    <w:basedOn w:val="Domylnaczcionkaakapitu"/>
    <w:uiPriority w:val="32"/>
    <w:qFormat/>
    <w:rsid w:val="00F04FC5"/>
    <w:rPr>
      <w:b/>
      <w:bCs/>
      <w:smallCaps/>
      <w:color w:val="0F4761" w:themeColor="accent1" w:themeShade="BF"/>
      <w:spacing w:val="5"/>
    </w:rPr>
  </w:style>
  <w:style w:type="character" w:customStyle="1" w:styleId="AkapitzlistZnak">
    <w:name w:val="Akapit z listą Znak"/>
    <w:link w:val="Akapitzlist"/>
    <w:uiPriority w:val="34"/>
    <w:locked/>
    <w:rsid w:val="00F04FC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807</Words>
  <Characters>4848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Pawlukowska, Iwona</dc:creator>
  <cp:lastModifiedBy>AB</cp:lastModifiedBy>
  <cp:revision>2</cp:revision>
  <dcterms:created xsi:type="dcterms:W3CDTF">2024-06-18T06:08:00Z</dcterms:created>
  <dcterms:modified xsi:type="dcterms:W3CDTF">2024-06-18T06:08:00Z</dcterms:modified>
</cp:coreProperties>
</file>